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44" w:rsidRPr="00CA4344" w:rsidRDefault="00CA4344">
      <w:pPr>
        <w:rPr>
          <w:b/>
          <w:noProof/>
          <w:lang w:eastAsia="lt-LT"/>
        </w:rPr>
      </w:pPr>
      <w:r w:rsidRPr="00CA4344">
        <w:rPr>
          <w:b/>
          <w:noProof/>
          <w:lang w:eastAsia="lt-LT"/>
        </w:rPr>
        <w:t>2016-2017 metų žiemos paukštis – suopis (Buteo spp.)</w:t>
      </w:r>
      <w:bookmarkStart w:id="0" w:name="_GoBack"/>
      <w:bookmarkEnd w:id="0"/>
    </w:p>
    <w:p w:rsidR="00CA4344" w:rsidRPr="00EF1AE5" w:rsidRDefault="00CA4344" w:rsidP="00CA4344">
      <w:pPr>
        <w:jc w:val="both"/>
        <w:rPr>
          <w:sz w:val="24"/>
          <w:szCs w:val="24"/>
        </w:rPr>
      </w:pPr>
      <w:r w:rsidRPr="00EF1AE5">
        <w:rPr>
          <w:sz w:val="24"/>
          <w:szCs w:val="24"/>
        </w:rPr>
        <w:t xml:space="preserve">Kadangi suopiai pakankamai įprasti paukščiai žiemą, siekiant pernelyg neapkrauti duomenų siuntimu tiek pačių stebėtojų, tiek ir </w:t>
      </w:r>
      <w:proofErr w:type="spellStart"/>
      <w:r w:rsidRPr="00EF1AE5">
        <w:rPr>
          <w:sz w:val="24"/>
          <w:szCs w:val="24"/>
        </w:rPr>
        <w:t>ir</w:t>
      </w:r>
      <w:proofErr w:type="spellEnd"/>
      <w:r w:rsidRPr="00EF1AE5">
        <w:rPr>
          <w:sz w:val="24"/>
          <w:szCs w:val="24"/>
        </w:rPr>
        <w:t xml:space="preserve"> duomenų rinkėjų, prašytume savo duomenis registruoti sąsiuviniuose ar kompiuterinėse laikmenose ir juos atsiųsti jau apibendrintus, iškart pasibaigus stebėjimo sezonui t.y. atsiųsti stebėjimų duomenis kovo pirmomis dienomis. Tokiu būdu, nereikės kaskart pateikinėti duomenų apie tose pačiose vietose matytus paukščius. Rekomenduojame duomenis pateikti  2  lentelių forma:</w:t>
      </w:r>
    </w:p>
    <w:p w:rsidR="00CA4344" w:rsidRDefault="00CA4344" w:rsidP="00CA4344">
      <w:pPr>
        <w:jc w:val="both"/>
      </w:pPr>
      <w:r w:rsidRPr="0076084B">
        <w:rPr>
          <w:i/>
        </w:rPr>
        <w:t>Pavyzdys</w:t>
      </w:r>
      <w:r>
        <w:rPr>
          <w:b/>
        </w:rPr>
        <w:t xml:space="preserve"> </w:t>
      </w:r>
      <w:r w:rsidRPr="0076084B">
        <w:t>1 lentelė</w:t>
      </w:r>
      <w:r>
        <w:t>. Stebėjimo vieta ir pastebėtų paukščių skaičius</w:t>
      </w:r>
    </w:p>
    <w:tbl>
      <w:tblPr>
        <w:tblStyle w:val="TableGrid"/>
        <w:tblW w:w="0" w:type="auto"/>
        <w:tblLook w:val="04A0" w:firstRow="1" w:lastRow="0" w:firstColumn="1" w:lastColumn="0" w:noHBand="0" w:noVBand="1"/>
      </w:tblPr>
      <w:tblGrid>
        <w:gridCol w:w="1779"/>
        <w:gridCol w:w="2870"/>
        <w:gridCol w:w="2466"/>
        <w:gridCol w:w="2739"/>
      </w:tblGrid>
      <w:tr w:rsidR="00CA4344" w:rsidRPr="00E52688" w:rsidTr="003217EA">
        <w:tc>
          <w:tcPr>
            <w:tcW w:w="1779" w:type="dxa"/>
            <w:vAlign w:val="center"/>
          </w:tcPr>
          <w:p w:rsidR="00CA4344" w:rsidRPr="00DD60FA" w:rsidRDefault="00CA4344" w:rsidP="003217EA">
            <w:pPr>
              <w:jc w:val="center"/>
              <w:rPr>
                <w:b/>
              </w:rPr>
            </w:pPr>
            <w:r w:rsidRPr="00DD60FA">
              <w:rPr>
                <w:b/>
              </w:rPr>
              <w:t>Data</w:t>
            </w:r>
          </w:p>
        </w:tc>
        <w:tc>
          <w:tcPr>
            <w:tcW w:w="2870" w:type="dxa"/>
            <w:vAlign w:val="center"/>
          </w:tcPr>
          <w:p w:rsidR="00CA4344" w:rsidRPr="00DD60FA" w:rsidRDefault="00CA4344" w:rsidP="003217EA">
            <w:pPr>
              <w:rPr>
                <w:b/>
              </w:rPr>
            </w:pPr>
            <w:r w:rsidRPr="00DD60FA">
              <w:rPr>
                <w:b/>
              </w:rPr>
              <w:t>Paieškos vieta (plotas arba nuvažiuota atkarpa</w:t>
            </w:r>
          </w:p>
        </w:tc>
        <w:tc>
          <w:tcPr>
            <w:tcW w:w="2466" w:type="dxa"/>
            <w:vAlign w:val="center"/>
          </w:tcPr>
          <w:p w:rsidR="00CA4344" w:rsidRPr="00DD60FA" w:rsidRDefault="00CA4344" w:rsidP="003217EA">
            <w:pPr>
              <w:jc w:val="center"/>
              <w:rPr>
                <w:b/>
              </w:rPr>
            </w:pPr>
            <w:r w:rsidRPr="00DD60FA">
              <w:rPr>
                <w:b/>
              </w:rPr>
              <w:t>Nuvažiuota km</w:t>
            </w:r>
          </w:p>
        </w:tc>
        <w:tc>
          <w:tcPr>
            <w:tcW w:w="2739" w:type="dxa"/>
            <w:vAlign w:val="center"/>
          </w:tcPr>
          <w:p w:rsidR="00CA4344" w:rsidRPr="00DD60FA" w:rsidRDefault="00CA4344" w:rsidP="003217EA">
            <w:pPr>
              <w:jc w:val="center"/>
              <w:rPr>
                <w:b/>
              </w:rPr>
            </w:pPr>
            <w:r w:rsidRPr="00DD60FA">
              <w:rPr>
                <w:b/>
              </w:rPr>
              <w:t>Stebėtų paprastųjų/</w:t>
            </w:r>
            <w:proofErr w:type="spellStart"/>
            <w:r w:rsidRPr="00DD60FA">
              <w:rPr>
                <w:b/>
              </w:rPr>
              <w:t>tūbuotųjų</w:t>
            </w:r>
            <w:proofErr w:type="spellEnd"/>
            <w:r w:rsidRPr="00DD60FA">
              <w:rPr>
                <w:b/>
              </w:rPr>
              <w:t xml:space="preserve"> suopių </w:t>
            </w:r>
            <w:r>
              <w:rPr>
                <w:b/>
              </w:rPr>
              <w:t>skaičius</w:t>
            </w:r>
          </w:p>
        </w:tc>
      </w:tr>
      <w:tr w:rsidR="00CA4344" w:rsidTr="003217EA">
        <w:tc>
          <w:tcPr>
            <w:tcW w:w="1779" w:type="dxa"/>
            <w:vAlign w:val="center"/>
          </w:tcPr>
          <w:p w:rsidR="00CA4344" w:rsidRDefault="00CA4344" w:rsidP="003217EA">
            <w:pPr>
              <w:jc w:val="both"/>
            </w:pPr>
            <w:r>
              <w:t>2016-12-01</w:t>
            </w:r>
          </w:p>
        </w:tc>
        <w:tc>
          <w:tcPr>
            <w:tcW w:w="2870" w:type="dxa"/>
            <w:vAlign w:val="center"/>
          </w:tcPr>
          <w:p w:rsidR="00CA4344" w:rsidRDefault="00CA4344" w:rsidP="003217EA">
            <w:pPr>
              <w:jc w:val="both"/>
            </w:pPr>
            <w:r>
              <w:t>Kauno HES-Patamušėlis-Vainatrakis-Pakuonis-Pabališkiai-Išlaužas-Garliava</w:t>
            </w:r>
          </w:p>
          <w:p w:rsidR="00CA4344" w:rsidRDefault="00CA4344" w:rsidP="003217EA">
            <w:pPr>
              <w:jc w:val="both"/>
            </w:pPr>
            <w:r>
              <w:t>(Kauno apskr.)</w:t>
            </w:r>
          </w:p>
        </w:tc>
        <w:tc>
          <w:tcPr>
            <w:tcW w:w="2466" w:type="dxa"/>
            <w:vAlign w:val="center"/>
          </w:tcPr>
          <w:p w:rsidR="00CA4344" w:rsidRDefault="00CA4344" w:rsidP="003217EA">
            <w:pPr>
              <w:jc w:val="center"/>
            </w:pPr>
            <w:r>
              <w:t>60</w:t>
            </w:r>
          </w:p>
        </w:tc>
        <w:tc>
          <w:tcPr>
            <w:tcW w:w="2739" w:type="dxa"/>
            <w:vAlign w:val="center"/>
          </w:tcPr>
          <w:p w:rsidR="00CA4344" w:rsidRDefault="00CA4344" w:rsidP="003217EA">
            <w:pPr>
              <w:jc w:val="center"/>
            </w:pPr>
            <w:r>
              <w:t>6/1</w:t>
            </w:r>
          </w:p>
        </w:tc>
      </w:tr>
      <w:tr w:rsidR="00CA4344" w:rsidTr="003217EA">
        <w:tc>
          <w:tcPr>
            <w:tcW w:w="1779" w:type="dxa"/>
            <w:vAlign w:val="center"/>
          </w:tcPr>
          <w:p w:rsidR="00CA4344" w:rsidRDefault="00CA4344" w:rsidP="003217EA">
            <w:pPr>
              <w:jc w:val="both"/>
            </w:pPr>
            <w:r>
              <w:t>2016-01-02</w:t>
            </w:r>
          </w:p>
        </w:tc>
        <w:tc>
          <w:tcPr>
            <w:tcW w:w="2870" w:type="dxa"/>
            <w:vAlign w:val="center"/>
          </w:tcPr>
          <w:p w:rsidR="00CA4344" w:rsidRDefault="00CA4344" w:rsidP="003217EA">
            <w:pPr>
              <w:jc w:val="both"/>
            </w:pPr>
            <w:r>
              <w:t xml:space="preserve">Didžiosios Lapės-Boniškiai-Vandžiogala-Rokiškis (Kauno </w:t>
            </w:r>
            <w:proofErr w:type="spellStart"/>
            <w:r>
              <w:t>raj.)-Babtai-Kaunas</w:t>
            </w:r>
            <w:proofErr w:type="spellEnd"/>
          </w:p>
        </w:tc>
        <w:tc>
          <w:tcPr>
            <w:tcW w:w="2466" w:type="dxa"/>
            <w:vAlign w:val="center"/>
          </w:tcPr>
          <w:p w:rsidR="00CA4344" w:rsidRDefault="00CA4344" w:rsidP="003217EA">
            <w:pPr>
              <w:jc w:val="center"/>
            </w:pPr>
            <w:r>
              <w:t>55</w:t>
            </w:r>
          </w:p>
        </w:tc>
        <w:tc>
          <w:tcPr>
            <w:tcW w:w="2739" w:type="dxa"/>
            <w:vAlign w:val="center"/>
          </w:tcPr>
          <w:p w:rsidR="00CA4344" w:rsidRDefault="00CA4344" w:rsidP="003217EA">
            <w:pPr>
              <w:jc w:val="center"/>
            </w:pPr>
            <w:r>
              <w:t>5/0</w:t>
            </w:r>
          </w:p>
        </w:tc>
      </w:tr>
    </w:tbl>
    <w:p w:rsidR="00CA4344" w:rsidRDefault="00CA4344" w:rsidP="00CA4344">
      <w:pPr>
        <w:jc w:val="both"/>
        <w:rPr>
          <w:sz w:val="24"/>
          <w:szCs w:val="24"/>
        </w:rPr>
      </w:pPr>
    </w:p>
    <w:p w:rsidR="00CA4344" w:rsidRPr="00DD60FA" w:rsidRDefault="00CA4344" w:rsidP="00CA4344">
      <w:pPr>
        <w:jc w:val="both"/>
        <w:rPr>
          <w:b/>
          <w:sz w:val="24"/>
          <w:szCs w:val="24"/>
        </w:rPr>
      </w:pPr>
      <w:r w:rsidRPr="00DD60FA">
        <w:rPr>
          <w:b/>
          <w:sz w:val="24"/>
          <w:szCs w:val="24"/>
        </w:rPr>
        <w:t>2 lentelė</w:t>
      </w:r>
      <w:r>
        <w:rPr>
          <w:b/>
          <w:sz w:val="24"/>
          <w:szCs w:val="24"/>
        </w:rPr>
        <w:t xml:space="preserve">. </w:t>
      </w:r>
      <w:r w:rsidRPr="00DD60FA">
        <w:rPr>
          <w:sz w:val="24"/>
          <w:szCs w:val="24"/>
        </w:rPr>
        <w:t>Duomenys apie pastebėtus paukščius</w:t>
      </w:r>
    </w:p>
    <w:tbl>
      <w:tblPr>
        <w:tblStyle w:val="TableGrid"/>
        <w:tblW w:w="0" w:type="auto"/>
        <w:tblLook w:val="04A0" w:firstRow="1" w:lastRow="0" w:firstColumn="1" w:lastColumn="0" w:noHBand="0" w:noVBand="1"/>
      </w:tblPr>
      <w:tblGrid>
        <w:gridCol w:w="1531"/>
        <w:gridCol w:w="1778"/>
        <w:gridCol w:w="1880"/>
        <w:gridCol w:w="1894"/>
        <w:gridCol w:w="2545"/>
      </w:tblGrid>
      <w:tr w:rsidR="00CA4344" w:rsidTr="003217EA">
        <w:tc>
          <w:tcPr>
            <w:tcW w:w="5189" w:type="dxa"/>
            <w:gridSpan w:val="3"/>
          </w:tcPr>
          <w:p w:rsidR="00CA4344" w:rsidRPr="00EB2D9D" w:rsidRDefault="00CA4344" w:rsidP="003217EA">
            <w:pPr>
              <w:jc w:val="center"/>
              <w:rPr>
                <w:rFonts w:cstheme="minorHAnsi"/>
                <w:b/>
                <w:sz w:val="24"/>
                <w:szCs w:val="24"/>
              </w:rPr>
            </w:pPr>
            <w:r w:rsidRPr="00EB2D9D">
              <w:rPr>
                <w:rFonts w:cstheme="minorHAnsi"/>
                <w:b/>
                <w:sz w:val="24"/>
                <w:szCs w:val="24"/>
              </w:rPr>
              <w:t>Suopio rūšis</w:t>
            </w:r>
          </w:p>
        </w:tc>
        <w:tc>
          <w:tcPr>
            <w:tcW w:w="1894" w:type="dxa"/>
            <w:vMerge w:val="restart"/>
          </w:tcPr>
          <w:p w:rsidR="00CA4344" w:rsidRPr="00EB2D9D" w:rsidRDefault="00CA4344" w:rsidP="003217EA">
            <w:pPr>
              <w:jc w:val="both"/>
              <w:rPr>
                <w:rFonts w:cstheme="minorHAnsi"/>
                <w:b/>
                <w:sz w:val="24"/>
                <w:szCs w:val="24"/>
              </w:rPr>
            </w:pPr>
            <w:r w:rsidRPr="00EB2D9D">
              <w:rPr>
                <w:rFonts w:cstheme="minorHAnsi"/>
                <w:b/>
                <w:sz w:val="24"/>
                <w:szCs w:val="24"/>
              </w:rPr>
              <w:t xml:space="preserve">Konkreti stebėjimo data, arba stebėta </w:t>
            </w:r>
            <w:proofErr w:type="spellStart"/>
            <w:r w:rsidRPr="00EB2D9D">
              <w:rPr>
                <w:rFonts w:cstheme="minorHAnsi"/>
                <w:b/>
                <w:sz w:val="24"/>
                <w:szCs w:val="24"/>
              </w:rPr>
              <w:t>nuo...iki</w:t>
            </w:r>
            <w:proofErr w:type="spellEnd"/>
            <w:r w:rsidRPr="00EB2D9D">
              <w:rPr>
                <w:rFonts w:cstheme="minorHAnsi"/>
                <w:b/>
                <w:sz w:val="24"/>
                <w:szCs w:val="24"/>
              </w:rPr>
              <w:t>...</w:t>
            </w:r>
          </w:p>
        </w:tc>
        <w:tc>
          <w:tcPr>
            <w:tcW w:w="2545" w:type="dxa"/>
            <w:vMerge w:val="restart"/>
          </w:tcPr>
          <w:p w:rsidR="00CA4344" w:rsidRPr="00EB2D9D" w:rsidRDefault="00CA4344" w:rsidP="003217EA">
            <w:pPr>
              <w:jc w:val="both"/>
              <w:rPr>
                <w:rFonts w:cstheme="minorHAnsi"/>
                <w:b/>
                <w:sz w:val="24"/>
                <w:szCs w:val="24"/>
              </w:rPr>
            </w:pPr>
            <w:r w:rsidRPr="00EB2D9D">
              <w:rPr>
                <w:rFonts w:cstheme="minorHAnsi"/>
                <w:b/>
                <w:sz w:val="24"/>
                <w:szCs w:val="24"/>
              </w:rPr>
              <w:t>Koordinatės, vietovė (būtina nurodyti rajoną)</w:t>
            </w:r>
          </w:p>
        </w:tc>
      </w:tr>
      <w:tr w:rsidR="00CA4344" w:rsidTr="003217EA">
        <w:tc>
          <w:tcPr>
            <w:tcW w:w="1531" w:type="dxa"/>
            <w:vAlign w:val="center"/>
          </w:tcPr>
          <w:p w:rsidR="00CA4344" w:rsidRPr="00EB2D9D" w:rsidRDefault="00CA4344" w:rsidP="003217EA">
            <w:pPr>
              <w:jc w:val="center"/>
              <w:rPr>
                <w:b/>
                <w:sz w:val="24"/>
                <w:szCs w:val="24"/>
              </w:rPr>
            </w:pPr>
            <w:r w:rsidRPr="00EB2D9D">
              <w:rPr>
                <w:b/>
                <w:sz w:val="24"/>
                <w:szCs w:val="24"/>
              </w:rPr>
              <w:t>Paprastasis suopis</w:t>
            </w:r>
          </w:p>
        </w:tc>
        <w:tc>
          <w:tcPr>
            <w:tcW w:w="1778" w:type="dxa"/>
            <w:vAlign w:val="center"/>
          </w:tcPr>
          <w:p w:rsidR="00CA4344" w:rsidRPr="00EB2D9D" w:rsidRDefault="00CA4344" w:rsidP="003217EA">
            <w:pPr>
              <w:jc w:val="center"/>
              <w:rPr>
                <w:rFonts w:cstheme="minorHAnsi"/>
                <w:b/>
                <w:sz w:val="24"/>
                <w:szCs w:val="24"/>
              </w:rPr>
            </w:pPr>
            <w:proofErr w:type="spellStart"/>
            <w:r w:rsidRPr="00EB2D9D">
              <w:rPr>
                <w:rFonts w:cstheme="minorHAnsi"/>
                <w:b/>
                <w:sz w:val="24"/>
                <w:szCs w:val="24"/>
              </w:rPr>
              <w:t>Tūbuotasis</w:t>
            </w:r>
            <w:proofErr w:type="spellEnd"/>
            <w:r w:rsidRPr="00EB2D9D">
              <w:rPr>
                <w:rFonts w:cstheme="minorHAnsi"/>
                <w:b/>
                <w:sz w:val="24"/>
                <w:szCs w:val="24"/>
              </w:rPr>
              <w:t xml:space="preserve"> suopis</w:t>
            </w:r>
          </w:p>
        </w:tc>
        <w:tc>
          <w:tcPr>
            <w:tcW w:w="1474" w:type="dxa"/>
            <w:vAlign w:val="center"/>
          </w:tcPr>
          <w:p w:rsidR="00CA4344" w:rsidRPr="00EB2D9D" w:rsidRDefault="00CA4344" w:rsidP="003217EA">
            <w:pPr>
              <w:jc w:val="center"/>
              <w:rPr>
                <w:rFonts w:cstheme="minorHAnsi"/>
                <w:b/>
                <w:sz w:val="24"/>
                <w:szCs w:val="24"/>
              </w:rPr>
            </w:pPr>
            <w:r w:rsidRPr="00EB2D9D">
              <w:rPr>
                <w:rFonts w:cstheme="minorHAnsi"/>
                <w:b/>
                <w:sz w:val="24"/>
                <w:szCs w:val="24"/>
              </w:rPr>
              <w:t>Neidentifikuotas</w:t>
            </w:r>
            <w:r>
              <w:rPr>
                <w:rFonts w:cstheme="minorHAnsi"/>
                <w:b/>
                <w:sz w:val="24"/>
                <w:szCs w:val="24"/>
              </w:rPr>
              <w:t xml:space="preserve"> suopis</w:t>
            </w:r>
          </w:p>
        </w:tc>
        <w:tc>
          <w:tcPr>
            <w:tcW w:w="1894" w:type="dxa"/>
            <w:vMerge/>
          </w:tcPr>
          <w:p w:rsidR="00CA4344" w:rsidRPr="00EB2D9D" w:rsidRDefault="00CA4344" w:rsidP="003217EA">
            <w:pPr>
              <w:jc w:val="center"/>
              <w:rPr>
                <w:rFonts w:cstheme="minorHAnsi"/>
                <w:b/>
                <w:sz w:val="24"/>
                <w:szCs w:val="24"/>
              </w:rPr>
            </w:pPr>
          </w:p>
        </w:tc>
        <w:tc>
          <w:tcPr>
            <w:tcW w:w="2545" w:type="dxa"/>
            <w:vMerge/>
          </w:tcPr>
          <w:p w:rsidR="00CA4344" w:rsidRPr="00EB2D9D" w:rsidRDefault="00CA4344" w:rsidP="003217EA">
            <w:pPr>
              <w:jc w:val="center"/>
              <w:rPr>
                <w:rFonts w:cstheme="minorHAnsi"/>
                <w:b/>
                <w:sz w:val="24"/>
                <w:szCs w:val="24"/>
              </w:rPr>
            </w:pPr>
          </w:p>
        </w:tc>
      </w:tr>
      <w:tr w:rsidR="00CA4344" w:rsidTr="003217EA">
        <w:trPr>
          <w:trHeight w:hRule="exact" w:val="680"/>
        </w:trPr>
        <w:tc>
          <w:tcPr>
            <w:tcW w:w="1531" w:type="dxa"/>
            <w:vAlign w:val="center"/>
          </w:tcPr>
          <w:p w:rsidR="00CA4344" w:rsidRDefault="00CA4344" w:rsidP="003217EA">
            <w:pPr>
              <w:jc w:val="center"/>
            </w:pPr>
          </w:p>
        </w:tc>
        <w:tc>
          <w:tcPr>
            <w:tcW w:w="1778" w:type="dxa"/>
            <w:vAlign w:val="center"/>
          </w:tcPr>
          <w:p w:rsidR="00CA4344" w:rsidRPr="00EB2D9D" w:rsidRDefault="00CA4344" w:rsidP="003217EA">
            <w:pPr>
              <w:jc w:val="center"/>
              <w:rPr>
                <w:rFonts w:cstheme="minorHAnsi"/>
                <w:sz w:val="24"/>
                <w:szCs w:val="24"/>
              </w:rPr>
            </w:pPr>
            <w:r w:rsidRPr="00EB2D9D">
              <w:rPr>
                <w:rFonts w:cstheme="minorHAnsi"/>
                <w:sz w:val="24"/>
                <w:szCs w:val="24"/>
              </w:rPr>
              <w:t>X</w:t>
            </w:r>
          </w:p>
        </w:tc>
        <w:tc>
          <w:tcPr>
            <w:tcW w:w="1880" w:type="dxa"/>
          </w:tcPr>
          <w:p w:rsidR="00CA4344" w:rsidRPr="00EB2D9D" w:rsidRDefault="00CA4344" w:rsidP="003217EA">
            <w:pPr>
              <w:jc w:val="center"/>
              <w:rPr>
                <w:rFonts w:cstheme="minorHAnsi"/>
                <w:sz w:val="24"/>
                <w:szCs w:val="24"/>
              </w:rPr>
            </w:pPr>
          </w:p>
        </w:tc>
        <w:tc>
          <w:tcPr>
            <w:tcW w:w="1894" w:type="dxa"/>
          </w:tcPr>
          <w:p w:rsidR="00CA4344" w:rsidRPr="00EB2D9D" w:rsidRDefault="00CA4344" w:rsidP="003217EA">
            <w:pPr>
              <w:jc w:val="center"/>
              <w:rPr>
                <w:rFonts w:cstheme="minorHAnsi"/>
                <w:sz w:val="24"/>
                <w:szCs w:val="24"/>
              </w:rPr>
            </w:pPr>
            <w:r w:rsidRPr="00EB2D9D">
              <w:rPr>
                <w:rFonts w:cstheme="minorHAnsi"/>
                <w:sz w:val="24"/>
                <w:szCs w:val="24"/>
              </w:rPr>
              <w:t>2017-12-01</w:t>
            </w:r>
          </w:p>
        </w:tc>
        <w:tc>
          <w:tcPr>
            <w:tcW w:w="2545" w:type="dxa"/>
          </w:tcPr>
          <w:p w:rsidR="00CA4344" w:rsidRDefault="00CA4344" w:rsidP="003217EA">
            <w:pPr>
              <w:jc w:val="center"/>
              <w:rPr>
                <w:rFonts w:cstheme="minorHAnsi"/>
                <w:color w:val="000000"/>
                <w:sz w:val="24"/>
                <w:szCs w:val="24"/>
                <w:shd w:val="clear" w:color="auto" w:fill="FFFFFF"/>
              </w:rPr>
            </w:pPr>
            <w:r w:rsidRPr="00EB2D9D">
              <w:rPr>
                <w:rFonts w:cstheme="minorHAnsi"/>
                <w:color w:val="000000"/>
                <w:sz w:val="24"/>
                <w:szCs w:val="24"/>
                <w:shd w:val="clear" w:color="auto" w:fill="FFFFFF"/>
              </w:rPr>
              <w:t>497469, 6069538 (LKS)</w:t>
            </w:r>
          </w:p>
          <w:p w:rsidR="00CA4344" w:rsidRPr="005C1ED7" w:rsidRDefault="00CA4344" w:rsidP="003217EA">
            <w:pPr>
              <w:jc w:val="center"/>
              <w:rPr>
                <w:rFonts w:cstheme="minorHAnsi"/>
                <w:color w:val="000000"/>
                <w:sz w:val="24"/>
                <w:szCs w:val="24"/>
                <w:shd w:val="clear" w:color="auto" w:fill="FFFFFF"/>
              </w:rPr>
            </w:pPr>
            <w:r>
              <w:rPr>
                <w:rFonts w:cstheme="minorHAnsi"/>
                <w:color w:val="000000"/>
                <w:sz w:val="24"/>
                <w:szCs w:val="24"/>
                <w:shd w:val="clear" w:color="auto" w:fill="FFFFFF"/>
              </w:rPr>
              <w:t xml:space="preserve">Kauno </w:t>
            </w:r>
            <w:proofErr w:type="spellStart"/>
            <w:r>
              <w:rPr>
                <w:rFonts w:cstheme="minorHAnsi"/>
                <w:color w:val="000000"/>
                <w:sz w:val="24"/>
                <w:szCs w:val="24"/>
                <w:shd w:val="clear" w:color="auto" w:fill="FFFFFF"/>
              </w:rPr>
              <w:t>raj</w:t>
            </w:r>
            <w:proofErr w:type="spellEnd"/>
            <w:r>
              <w:rPr>
                <w:rFonts w:cstheme="minorHAnsi"/>
                <w:color w:val="000000"/>
                <w:sz w:val="24"/>
                <w:szCs w:val="24"/>
                <w:shd w:val="clear" w:color="auto" w:fill="FFFFFF"/>
              </w:rPr>
              <w:t>.</w:t>
            </w:r>
          </w:p>
        </w:tc>
      </w:tr>
      <w:tr w:rsidR="00CA4344" w:rsidTr="003217EA">
        <w:tc>
          <w:tcPr>
            <w:tcW w:w="1531" w:type="dxa"/>
            <w:vAlign w:val="center"/>
          </w:tcPr>
          <w:p w:rsidR="00CA4344" w:rsidRDefault="00CA4344" w:rsidP="003217EA">
            <w:pPr>
              <w:jc w:val="center"/>
            </w:pPr>
            <w:r>
              <w:t>X</w:t>
            </w:r>
          </w:p>
        </w:tc>
        <w:tc>
          <w:tcPr>
            <w:tcW w:w="1778" w:type="dxa"/>
            <w:vAlign w:val="center"/>
          </w:tcPr>
          <w:p w:rsidR="00CA4344" w:rsidRPr="00EB2D9D" w:rsidRDefault="00CA4344" w:rsidP="003217EA">
            <w:pPr>
              <w:jc w:val="center"/>
              <w:rPr>
                <w:rFonts w:cstheme="minorHAnsi"/>
                <w:sz w:val="24"/>
                <w:szCs w:val="24"/>
              </w:rPr>
            </w:pPr>
          </w:p>
        </w:tc>
        <w:tc>
          <w:tcPr>
            <w:tcW w:w="1880" w:type="dxa"/>
          </w:tcPr>
          <w:p w:rsidR="00CA4344" w:rsidRPr="00EB2D9D" w:rsidRDefault="00CA4344" w:rsidP="003217EA">
            <w:pPr>
              <w:jc w:val="center"/>
              <w:rPr>
                <w:rFonts w:cstheme="minorHAnsi"/>
                <w:sz w:val="24"/>
                <w:szCs w:val="24"/>
              </w:rPr>
            </w:pPr>
          </w:p>
        </w:tc>
        <w:tc>
          <w:tcPr>
            <w:tcW w:w="1894" w:type="dxa"/>
          </w:tcPr>
          <w:p w:rsidR="00CA4344" w:rsidRPr="00EB2D9D" w:rsidRDefault="00CA4344" w:rsidP="003217EA">
            <w:pPr>
              <w:jc w:val="center"/>
              <w:rPr>
                <w:rFonts w:cstheme="minorHAnsi"/>
                <w:sz w:val="24"/>
                <w:szCs w:val="24"/>
              </w:rPr>
            </w:pPr>
            <w:r w:rsidRPr="00EB2D9D">
              <w:rPr>
                <w:rFonts w:cstheme="minorHAnsi"/>
                <w:sz w:val="24"/>
                <w:szCs w:val="24"/>
              </w:rPr>
              <w:t>Nuo 2017-12-02 iki 2018-01-01</w:t>
            </w:r>
          </w:p>
        </w:tc>
        <w:tc>
          <w:tcPr>
            <w:tcW w:w="2545" w:type="dxa"/>
          </w:tcPr>
          <w:p w:rsidR="00CA4344" w:rsidRPr="00EB2D9D" w:rsidRDefault="00CA4344" w:rsidP="003217EA">
            <w:pPr>
              <w:jc w:val="center"/>
              <w:rPr>
                <w:rFonts w:cstheme="minorHAnsi"/>
                <w:sz w:val="24"/>
                <w:szCs w:val="24"/>
              </w:rPr>
            </w:pPr>
            <w:r w:rsidRPr="00EB2D9D">
              <w:rPr>
                <w:rFonts w:cstheme="minorHAnsi"/>
                <w:color w:val="000000"/>
                <w:sz w:val="24"/>
                <w:szCs w:val="24"/>
                <w:shd w:val="clear" w:color="auto" w:fill="FFFFFF"/>
              </w:rPr>
              <w:t>54.74222, 23.977053 (WGS)</w:t>
            </w:r>
            <w:r>
              <w:rPr>
                <w:rFonts w:cstheme="minorHAnsi"/>
                <w:color w:val="000000"/>
                <w:sz w:val="24"/>
                <w:szCs w:val="24"/>
                <w:shd w:val="clear" w:color="auto" w:fill="FFFFFF"/>
              </w:rPr>
              <w:t xml:space="preserve"> Kauno </w:t>
            </w:r>
            <w:proofErr w:type="spellStart"/>
            <w:r>
              <w:rPr>
                <w:rFonts w:cstheme="minorHAnsi"/>
                <w:color w:val="000000"/>
                <w:sz w:val="24"/>
                <w:szCs w:val="24"/>
                <w:shd w:val="clear" w:color="auto" w:fill="FFFFFF"/>
              </w:rPr>
              <w:t>raj</w:t>
            </w:r>
            <w:proofErr w:type="spellEnd"/>
            <w:r>
              <w:rPr>
                <w:rFonts w:cstheme="minorHAnsi"/>
                <w:color w:val="000000"/>
                <w:sz w:val="24"/>
                <w:szCs w:val="24"/>
                <w:shd w:val="clear" w:color="auto" w:fill="FFFFFF"/>
              </w:rPr>
              <w:t>.</w:t>
            </w:r>
          </w:p>
        </w:tc>
      </w:tr>
      <w:tr w:rsidR="00CA4344" w:rsidTr="003217EA">
        <w:tc>
          <w:tcPr>
            <w:tcW w:w="1531" w:type="dxa"/>
          </w:tcPr>
          <w:p w:rsidR="00CA4344" w:rsidRDefault="00CA4344" w:rsidP="003217EA">
            <w:pPr>
              <w:jc w:val="center"/>
            </w:pPr>
          </w:p>
        </w:tc>
        <w:tc>
          <w:tcPr>
            <w:tcW w:w="1778" w:type="dxa"/>
          </w:tcPr>
          <w:p w:rsidR="00CA4344" w:rsidRDefault="00CA4344" w:rsidP="003217EA">
            <w:pPr>
              <w:jc w:val="center"/>
            </w:pPr>
          </w:p>
        </w:tc>
        <w:tc>
          <w:tcPr>
            <w:tcW w:w="1880" w:type="dxa"/>
          </w:tcPr>
          <w:p w:rsidR="00CA4344" w:rsidRDefault="00CA4344" w:rsidP="003217EA">
            <w:pPr>
              <w:jc w:val="center"/>
            </w:pPr>
          </w:p>
        </w:tc>
        <w:tc>
          <w:tcPr>
            <w:tcW w:w="1894" w:type="dxa"/>
          </w:tcPr>
          <w:p w:rsidR="00CA4344" w:rsidRDefault="00CA4344" w:rsidP="003217EA">
            <w:pPr>
              <w:jc w:val="center"/>
            </w:pPr>
          </w:p>
        </w:tc>
        <w:tc>
          <w:tcPr>
            <w:tcW w:w="2545" w:type="dxa"/>
          </w:tcPr>
          <w:p w:rsidR="00CA4344" w:rsidRDefault="00CA4344" w:rsidP="003217EA">
            <w:pPr>
              <w:jc w:val="center"/>
            </w:pPr>
          </w:p>
        </w:tc>
      </w:tr>
    </w:tbl>
    <w:p w:rsidR="00CA4344" w:rsidRDefault="00CA4344" w:rsidP="00CA4344">
      <w:pPr>
        <w:jc w:val="both"/>
      </w:pPr>
    </w:p>
    <w:p w:rsidR="00CA4344" w:rsidRDefault="00CA4344" w:rsidP="00CA4344">
      <w:pPr>
        <w:jc w:val="both"/>
      </w:pPr>
    </w:p>
    <w:p w:rsidR="00CA4344" w:rsidRPr="0074357F" w:rsidRDefault="00CA4344" w:rsidP="00CA4344">
      <w:pPr>
        <w:jc w:val="both"/>
      </w:pPr>
      <w:r>
        <w:t xml:space="preserve">Neturintiems specialių prietaisų koordinatėms nustatyti jas galima automatiškai surasti žemėlapyje www. </w:t>
      </w:r>
      <w:proofErr w:type="spellStart"/>
      <w:r>
        <w:t>maps.lt</w:t>
      </w:r>
      <w:proofErr w:type="spellEnd"/>
      <w:r>
        <w:t xml:space="preserve"> suradus stebėjimo vietą, tiksliai toje vietoje  paspaudus dešinįjį pelės klavišą ir pasirinkus parinktį „Gauti taško koordinates“.. </w:t>
      </w:r>
    </w:p>
    <w:p w:rsidR="00CA4344" w:rsidRPr="0074357F" w:rsidRDefault="00CA4344" w:rsidP="00CA4344">
      <w:pPr>
        <w:jc w:val="both"/>
      </w:pPr>
      <w:r w:rsidRPr="0074357F">
        <w:t xml:space="preserve">Akcijoje kviečiame aktyviai dalyvauti ne tik patyrusius paukščių stebėtojus, bet ir visus tuos, kurie mano, kad pažįsta ar sugebėtų pažinti </w:t>
      </w:r>
      <w:proofErr w:type="spellStart"/>
      <w:r>
        <w:t>soupį</w:t>
      </w:r>
      <w:proofErr w:type="spellEnd"/>
      <w:r>
        <w:t>, ypač žmones daugiau laiko praleidžiančius gamtoje – aplinkos apsaugos darbuotojus, medžiotojus, miškininkus</w:t>
      </w:r>
      <w:r w:rsidRPr="0074357F">
        <w:t xml:space="preserve">. </w:t>
      </w:r>
    </w:p>
    <w:p w:rsidR="00CA4344" w:rsidRDefault="00CA4344" w:rsidP="00CA4344">
      <w:pPr>
        <w:jc w:val="both"/>
        <w:rPr>
          <w:rStyle w:val="Hyperlink"/>
          <w:lang w:val="en-US"/>
        </w:rPr>
      </w:pPr>
      <w:r w:rsidRPr="0074357F">
        <w:t xml:space="preserve">Duomenis </w:t>
      </w:r>
      <w:r>
        <w:t>prašytume siųsti</w:t>
      </w:r>
      <w:r w:rsidRPr="0074357F">
        <w:t xml:space="preserve"> el. paštu: </w:t>
      </w:r>
      <w:hyperlink r:id="rId5" w:history="1">
        <w:r w:rsidRPr="00F06ECA">
          <w:rPr>
            <w:rStyle w:val="Hyperlink"/>
          </w:rPr>
          <w:t>modruzauskas@hotmail.com</w:t>
        </w:r>
      </w:hyperlink>
    </w:p>
    <w:p w:rsidR="00C0210E" w:rsidRDefault="00C0210E"/>
    <w:sectPr w:rsidR="00C021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8"/>
    <w:rsid w:val="00C0210E"/>
    <w:rsid w:val="00CA4344"/>
    <w:rsid w:val="00D42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44"/>
    <w:rPr>
      <w:rFonts w:ascii="Tahoma" w:hAnsi="Tahoma" w:cs="Tahoma"/>
      <w:sz w:val="16"/>
      <w:szCs w:val="16"/>
    </w:rPr>
  </w:style>
  <w:style w:type="character" w:styleId="Hyperlink">
    <w:name w:val="Hyperlink"/>
    <w:basedOn w:val="DefaultParagraphFont"/>
    <w:uiPriority w:val="99"/>
    <w:unhideWhenUsed/>
    <w:rsid w:val="00CA4344"/>
    <w:rPr>
      <w:color w:val="0000FF"/>
      <w:u w:val="single"/>
    </w:rPr>
  </w:style>
  <w:style w:type="table" w:styleId="TableGrid">
    <w:name w:val="Table Grid"/>
    <w:basedOn w:val="TableNormal"/>
    <w:uiPriority w:val="39"/>
    <w:rsid w:val="00CA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44"/>
    <w:rPr>
      <w:rFonts w:ascii="Tahoma" w:hAnsi="Tahoma" w:cs="Tahoma"/>
      <w:sz w:val="16"/>
      <w:szCs w:val="16"/>
    </w:rPr>
  </w:style>
  <w:style w:type="character" w:styleId="Hyperlink">
    <w:name w:val="Hyperlink"/>
    <w:basedOn w:val="DefaultParagraphFont"/>
    <w:uiPriority w:val="99"/>
    <w:unhideWhenUsed/>
    <w:rsid w:val="00CA4344"/>
    <w:rPr>
      <w:color w:val="0000FF"/>
      <w:u w:val="single"/>
    </w:rPr>
  </w:style>
  <w:style w:type="table" w:styleId="TableGrid">
    <w:name w:val="Table Grid"/>
    <w:basedOn w:val="TableNormal"/>
    <w:uiPriority w:val="39"/>
    <w:rsid w:val="00CA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druzauska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BirdlifeDell1</dc:creator>
  <cp:lastModifiedBy>BirdlifeDell1</cp:lastModifiedBy>
  <cp:revision>2</cp:revision>
  <dcterms:created xsi:type="dcterms:W3CDTF">2016-12-15T06:06:00Z</dcterms:created>
  <dcterms:modified xsi:type="dcterms:W3CDTF">2016-12-15T06:06:00Z</dcterms:modified>
</cp:coreProperties>
</file>